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8E37" w14:textId="77777777" w:rsidR="00172DDF" w:rsidRPr="00172DDF" w:rsidRDefault="00172DDF" w:rsidP="00172DDF">
      <w:pPr>
        <w:rPr>
          <w:b/>
          <w:bCs/>
        </w:rPr>
      </w:pPr>
      <w:r w:rsidRPr="00172DDF">
        <w:rPr>
          <w:b/>
          <w:bCs/>
        </w:rPr>
        <w:t>Introduction</w:t>
      </w:r>
    </w:p>
    <w:p w14:paraId="5030CFE9" w14:textId="77777777" w:rsidR="00172DDF" w:rsidRPr="00172DDF" w:rsidRDefault="00172DDF" w:rsidP="00172DDF">
      <w:r w:rsidRPr="00172DDF">
        <w:t>This Statement of Purpose is written in line with the Children’s Homes Regulations 2015 and Schedule 1. It explains what Frog House provides, who we can support, how we deliver care, and the values and approaches that guide our daily work. It also outlines how the home is organised to ensure children and young people experience safe, high-quality care that promotes positive outcomes.</w:t>
      </w:r>
    </w:p>
    <w:p w14:paraId="7BA50844" w14:textId="77777777" w:rsidR="00172DDF" w:rsidRPr="00172DDF" w:rsidRDefault="00172DDF" w:rsidP="00172DDF">
      <w:r w:rsidRPr="00172DDF">
        <w:pict w14:anchorId="512962CB">
          <v:rect id="_x0000_i1073" style="width:0;height:1.5pt" o:hralign="center" o:hrstd="t" o:hr="t" fillcolor="#a0a0a0" stroked="f"/>
        </w:pict>
      </w:r>
    </w:p>
    <w:p w14:paraId="053B04C1" w14:textId="77777777" w:rsidR="00172DDF" w:rsidRPr="00172DDF" w:rsidRDefault="00172DDF" w:rsidP="00172DDF">
      <w:pPr>
        <w:rPr>
          <w:b/>
          <w:bCs/>
        </w:rPr>
      </w:pPr>
      <w:r w:rsidRPr="00172DDF">
        <w:rPr>
          <w:b/>
          <w:bCs/>
        </w:rPr>
        <w:t>Our Mission and Aims</w:t>
      </w:r>
    </w:p>
    <w:p w14:paraId="443210E4" w14:textId="77777777" w:rsidR="00172DDF" w:rsidRPr="00172DDF" w:rsidRDefault="00172DDF" w:rsidP="00172DDF">
      <w:r w:rsidRPr="00172DDF">
        <w:t>At K.C Children’s Homes, our mission is to provide a safe, nurturing and therapeutic environment for children and young people who may have experienced trauma, abuse, neglect and/or difficulties with emotional wellbeing or mental health.</w:t>
      </w:r>
    </w:p>
    <w:p w14:paraId="4FBEDE2F" w14:textId="77777777" w:rsidR="00172DDF" w:rsidRPr="00172DDF" w:rsidRDefault="00172DDF" w:rsidP="00172DDF">
      <w:r w:rsidRPr="00172DDF">
        <w:t>We aim to help each child:</w:t>
      </w:r>
    </w:p>
    <w:p w14:paraId="685E855E" w14:textId="77777777" w:rsidR="00172DDF" w:rsidRPr="00172DDF" w:rsidRDefault="00172DDF" w:rsidP="00172DDF">
      <w:pPr>
        <w:numPr>
          <w:ilvl w:val="0"/>
          <w:numId w:val="1"/>
        </w:numPr>
      </w:pPr>
      <w:r w:rsidRPr="00172DDF">
        <w:t>Feel safe, cared for and understood</w:t>
      </w:r>
    </w:p>
    <w:p w14:paraId="0D2F4E41" w14:textId="77777777" w:rsidR="00172DDF" w:rsidRPr="00172DDF" w:rsidRDefault="00172DDF" w:rsidP="00172DDF">
      <w:pPr>
        <w:numPr>
          <w:ilvl w:val="0"/>
          <w:numId w:val="1"/>
        </w:numPr>
      </w:pPr>
      <w:r w:rsidRPr="00172DDF">
        <w:t>Build resilience and emotional regulation skills</w:t>
      </w:r>
    </w:p>
    <w:p w14:paraId="6AD9C4B0" w14:textId="77777777" w:rsidR="00172DDF" w:rsidRPr="00172DDF" w:rsidRDefault="00172DDF" w:rsidP="00172DDF">
      <w:pPr>
        <w:numPr>
          <w:ilvl w:val="0"/>
          <w:numId w:val="1"/>
        </w:numPr>
      </w:pPr>
      <w:r w:rsidRPr="00172DDF">
        <w:t>Improve their understanding of their own mental health</w:t>
      </w:r>
    </w:p>
    <w:p w14:paraId="3F5B932B" w14:textId="77777777" w:rsidR="00172DDF" w:rsidRPr="00172DDF" w:rsidRDefault="00172DDF" w:rsidP="00172DDF">
      <w:pPr>
        <w:numPr>
          <w:ilvl w:val="0"/>
          <w:numId w:val="1"/>
        </w:numPr>
      </w:pPr>
      <w:r w:rsidRPr="00172DDF">
        <w:t>Develop practical tools to manage thoughts, feelings and behaviour</w:t>
      </w:r>
    </w:p>
    <w:p w14:paraId="37299C95" w14:textId="77777777" w:rsidR="00172DDF" w:rsidRPr="00172DDF" w:rsidRDefault="00172DDF" w:rsidP="00172DDF">
      <w:pPr>
        <w:numPr>
          <w:ilvl w:val="0"/>
          <w:numId w:val="1"/>
        </w:numPr>
      </w:pPr>
      <w:r w:rsidRPr="00172DDF">
        <w:t>Engage positively in education, community activities and relationships</w:t>
      </w:r>
    </w:p>
    <w:p w14:paraId="5268D04D" w14:textId="77777777" w:rsidR="00172DDF" w:rsidRPr="00172DDF" w:rsidRDefault="00172DDF" w:rsidP="00172DDF">
      <w:pPr>
        <w:numPr>
          <w:ilvl w:val="0"/>
          <w:numId w:val="1"/>
        </w:numPr>
      </w:pPr>
      <w:r w:rsidRPr="00172DDF">
        <w:t>Build independence and life skills for the future</w:t>
      </w:r>
    </w:p>
    <w:p w14:paraId="1A0C0174" w14:textId="77777777" w:rsidR="00172DDF" w:rsidRPr="00172DDF" w:rsidRDefault="00172DDF" w:rsidP="00172DDF">
      <w:r w:rsidRPr="00172DDF">
        <w:pict w14:anchorId="3BBFF04C">
          <v:rect id="_x0000_i1074" style="width:0;height:1.5pt" o:hralign="center" o:hrstd="t" o:hr="t" fillcolor="#a0a0a0" stroked="f"/>
        </w:pict>
      </w:r>
    </w:p>
    <w:p w14:paraId="59A06CB2" w14:textId="77777777" w:rsidR="00172DDF" w:rsidRPr="00172DDF" w:rsidRDefault="00172DDF" w:rsidP="00172DDF">
      <w:pPr>
        <w:rPr>
          <w:b/>
          <w:bCs/>
        </w:rPr>
      </w:pPr>
      <w:r w:rsidRPr="00172DDF">
        <w:rPr>
          <w:b/>
          <w:bCs/>
        </w:rPr>
        <w:t>Our Therapeutic Approach</w:t>
      </w:r>
    </w:p>
    <w:p w14:paraId="7A76D349" w14:textId="77777777" w:rsidR="00172DDF" w:rsidRPr="00172DDF" w:rsidRDefault="00172DDF" w:rsidP="00172DDF">
      <w:r w:rsidRPr="00172DDF">
        <w:t>Frog House uses a consistent therapeutic model across the home. We provide an environment where adults build trusting relationships, offer structure, and support children to understand triggers and develop healthier coping strategies.</w:t>
      </w:r>
    </w:p>
    <w:p w14:paraId="3B948391" w14:textId="77777777" w:rsidR="00172DDF" w:rsidRPr="00172DDF" w:rsidRDefault="00172DDF" w:rsidP="00172DDF">
      <w:r w:rsidRPr="00172DDF">
        <w:t>We use evidence-based approaches including:</w:t>
      </w:r>
    </w:p>
    <w:p w14:paraId="4B8828D1" w14:textId="77777777" w:rsidR="00172DDF" w:rsidRPr="00172DDF" w:rsidRDefault="00172DDF" w:rsidP="00172DDF">
      <w:pPr>
        <w:numPr>
          <w:ilvl w:val="0"/>
          <w:numId w:val="2"/>
        </w:numPr>
      </w:pPr>
      <w:r w:rsidRPr="00172DDF">
        <w:t>Cognitive Behavioural Therapy (CBT)</w:t>
      </w:r>
    </w:p>
    <w:p w14:paraId="4192BD48" w14:textId="77777777" w:rsidR="00172DDF" w:rsidRPr="00172DDF" w:rsidRDefault="00172DDF" w:rsidP="00172DDF">
      <w:pPr>
        <w:numPr>
          <w:ilvl w:val="0"/>
          <w:numId w:val="2"/>
        </w:numPr>
      </w:pPr>
      <w:r w:rsidRPr="00172DDF">
        <w:t>Trauma Response Model (TRM)</w:t>
      </w:r>
    </w:p>
    <w:p w14:paraId="35744774" w14:textId="77777777" w:rsidR="00172DDF" w:rsidRPr="00172DDF" w:rsidRDefault="00172DDF" w:rsidP="00172DDF">
      <w:pPr>
        <w:numPr>
          <w:ilvl w:val="0"/>
          <w:numId w:val="2"/>
        </w:numPr>
      </w:pPr>
      <w:r w:rsidRPr="00172DDF">
        <w:t>Trauma-informed care and attachment-informed practice</w:t>
      </w:r>
    </w:p>
    <w:p w14:paraId="48E5EDE1" w14:textId="77777777" w:rsidR="00172DDF" w:rsidRPr="00172DDF" w:rsidRDefault="00172DDF" w:rsidP="00172DDF">
      <w:pPr>
        <w:numPr>
          <w:ilvl w:val="0"/>
          <w:numId w:val="2"/>
        </w:numPr>
      </w:pPr>
      <w:r w:rsidRPr="00172DDF">
        <w:t>PACE (Playfulness, Acceptance, Curiosity, Empathy) as a daily relational approach</w:t>
      </w:r>
    </w:p>
    <w:p w14:paraId="37E3A82E" w14:textId="77777777" w:rsidR="00172DDF" w:rsidRPr="00172DDF" w:rsidRDefault="00172DDF" w:rsidP="00172DDF">
      <w:r w:rsidRPr="00172DDF">
        <w:lastRenderedPageBreak/>
        <w:t>We aim to reduce unnecessary external referrals by providing skilled, therapeutic support within the home, while working closely with partner agencies when specialist input is needed.</w:t>
      </w:r>
    </w:p>
    <w:p w14:paraId="33B7C594" w14:textId="77777777" w:rsidR="00172DDF" w:rsidRPr="00172DDF" w:rsidRDefault="00172DDF" w:rsidP="00172DDF">
      <w:r w:rsidRPr="00172DDF">
        <w:pict w14:anchorId="4D7260B6">
          <v:rect id="_x0000_i1075" style="width:0;height:1.5pt" o:hralign="center" o:hrstd="t" o:hr="t" fillcolor="#a0a0a0" stroked="f"/>
        </w:pict>
      </w:r>
    </w:p>
    <w:p w14:paraId="2C238294" w14:textId="77777777" w:rsidR="00172DDF" w:rsidRPr="00172DDF" w:rsidRDefault="00172DDF" w:rsidP="00172DDF">
      <w:pPr>
        <w:rPr>
          <w:b/>
          <w:bCs/>
        </w:rPr>
      </w:pPr>
      <w:r w:rsidRPr="00172DDF">
        <w:rPr>
          <w:b/>
          <w:bCs/>
        </w:rPr>
        <w:t>Specialist Support Network</w:t>
      </w:r>
    </w:p>
    <w:p w14:paraId="69552A00" w14:textId="77777777" w:rsidR="00172DDF" w:rsidRPr="00172DDF" w:rsidRDefault="00172DDF" w:rsidP="00172DDF">
      <w:r w:rsidRPr="00172DDF">
        <w:t>Frog House is supported by a network of experienced professionals who provide consultation, oversight and direct work where appropriate, including:</w:t>
      </w:r>
    </w:p>
    <w:p w14:paraId="033931B9" w14:textId="77777777" w:rsidR="00172DDF" w:rsidRPr="00172DDF" w:rsidRDefault="00172DDF" w:rsidP="00172DDF">
      <w:pPr>
        <w:numPr>
          <w:ilvl w:val="0"/>
          <w:numId w:val="3"/>
        </w:numPr>
      </w:pPr>
      <w:r w:rsidRPr="00172DDF">
        <w:t>A specialist Learning Disability nurse</w:t>
      </w:r>
    </w:p>
    <w:p w14:paraId="44353304" w14:textId="77777777" w:rsidR="00172DDF" w:rsidRPr="00172DDF" w:rsidRDefault="00172DDF" w:rsidP="00172DDF">
      <w:pPr>
        <w:numPr>
          <w:ilvl w:val="0"/>
          <w:numId w:val="3"/>
        </w:numPr>
      </w:pPr>
      <w:r w:rsidRPr="00172DDF">
        <w:t>A sports development and nutrition specialist</w:t>
      </w:r>
    </w:p>
    <w:p w14:paraId="47F2EBC2" w14:textId="77777777" w:rsidR="00172DDF" w:rsidRPr="00172DDF" w:rsidRDefault="00172DDF" w:rsidP="00172DDF">
      <w:pPr>
        <w:numPr>
          <w:ilvl w:val="0"/>
          <w:numId w:val="3"/>
        </w:numPr>
      </w:pPr>
      <w:r w:rsidRPr="00172DDF">
        <w:t>A psychologist (weekly input)</w:t>
      </w:r>
    </w:p>
    <w:p w14:paraId="4D4B5102" w14:textId="77777777" w:rsidR="00172DDF" w:rsidRPr="00172DDF" w:rsidRDefault="00172DDF" w:rsidP="00172DDF">
      <w:pPr>
        <w:numPr>
          <w:ilvl w:val="0"/>
          <w:numId w:val="3"/>
        </w:numPr>
      </w:pPr>
      <w:r w:rsidRPr="00172DDF">
        <w:t>A Children and Young People’s therapist (weekly input)</w:t>
      </w:r>
    </w:p>
    <w:p w14:paraId="5D6FAA44" w14:textId="77777777" w:rsidR="00172DDF" w:rsidRPr="00172DDF" w:rsidRDefault="00172DDF" w:rsidP="00172DDF">
      <w:r w:rsidRPr="00172DDF">
        <w:t>This specialist support helps us with:</w:t>
      </w:r>
    </w:p>
    <w:p w14:paraId="1FE3EC2A" w14:textId="77777777" w:rsidR="00172DDF" w:rsidRPr="00172DDF" w:rsidRDefault="00172DDF" w:rsidP="00172DDF">
      <w:pPr>
        <w:numPr>
          <w:ilvl w:val="0"/>
          <w:numId w:val="4"/>
        </w:numPr>
      </w:pPr>
      <w:r w:rsidRPr="00172DDF">
        <w:t>Risk management and safety planning</w:t>
      </w:r>
    </w:p>
    <w:p w14:paraId="05E7CB99" w14:textId="77777777" w:rsidR="00172DDF" w:rsidRPr="00172DDF" w:rsidRDefault="00172DDF" w:rsidP="00172DDF">
      <w:pPr>
        <w:numPr>
          <w:ilvl w:val="0"/>
          <w:numId w:val="4"/>
        </w:numPr>
      </w:pPr>
      <w:r w:rsidRPr="00172DDF">
        <w:t>Emotional wellbeing and mental health monitoring</w:t>
      </w:r>
    </w:p>
    <w:p w14:paraId="287A52DF" w14:textId="77777777" w:rsidR="00172DDF" w:rsidRPr="00172DDF" w:rsidRDefault="00172DDF" w:rsidP="00172DDF">
      <w:pPr>
        <w:numPr>
          <w:ilvl w:val="0"/>
          <w:numId w:val="4"/>
        </w:numPr>
      </w:pPr>
      <w:r w:rsidRPr="00172DDF">
        <w:t>Therapeutic interventions and guidance</w:t>
      </w:r>
    </w:p>
    <w:p w14:paraId="77CA07E1" w14:textId="77777777" w:rsidR="00172DDF" w:rsidRPr="00172DDF" w:rsidRDefault="00172DDF" w:rsidP="00172DDF">
      <w:pPr>
        <w:numPr>
          <w:ilvl w:val="0"/>
          <w:numId w:val="4"/>
        </w:numPr>
      </w:pPr>
      <w:r w:rsidRPr="00172DDF">
        <w:t>Staff advice, reflection and training</w:t>
      </w:r>
    </w:p>
    <w:p w14:paraId="1C9D3EE6" w14:textId="77777777" w:rsidR="00172DDF" w:rsidRPr="00172DDF" w:rsidRDefault="00172DDF" w:rsidP="00172DDF">
      <w:pPr>
        <w:numPr>
          <w:ilvl w:val="0"/>
          <w:numId w:val="4"/>
        </w:numPr>
      </w:pPr>
      <w:r w:rsidRPr="00172DDF">
        <w:t>Multi-agency reviews and planning</w:t>
      </w:r>
    </w:p>
    <w:p w14:paraId="5782B048" w14:textId="77777777" w:rsidR="00172DDF" w:rsidRPr="00172DDF" w:rsidRDefault="00172DDF" w:rsidP="00172DDF">
      <w:r w:rsidRPr="00172DDF">
        <w:pict w14:anchorId="37F4FC6F">
          <v:rect id="_x0000_i1076" style="width:0;height:1.5pt" o:hralign="center" o:hrstd="t" o:hr="t" fillcolor="#a0a0a0" stroked="f"/>
        </w:pict>
      </w:r>
    </w:p>
    <w:p w14:paraId="4BB192DF" w14:textId="77777777" w:rsidR="00172DDF" w:rsidRPr="00172DDF" w:rsidRDefault="00172DDF" w:rsidP="00172DDF">
      <w:pPr>
        <w:rPr>
          <w:b/>
          <w:bCs/>
        </w:rPr>
      </w:pPr>
      <w:r w:rsidRPr="00172DDF">
        <w:rPr>
          <w:b/>
          <w:bCs/>
        </w:rPr>
        <w:t>1. Our Children and Young People</w:t>
      </w:r>
    </w:p>
    <w:p w14:paraId="765C513F" w14:textId="77777777" w:rsidR="00172DDF" w:rsidRPr="00172DDF" w:rsidRDefault="00172DDF" w:rsidP="00172DDF">
      <w:r w:rsidRPr="00172DDF">
        <w:t>Frog House is a solo placement home offering care for:</w:t>
      </w:r>
    </w:p>
    <w:p w14:paraId="4EA5CEBA" w14:textId="77777777" w:rsidR="00172DDF" w:rsidRPr="00172DDF" w:rsidRDefault="00172DDF" w:rsidP="00172DDF">
      <w:pPr>
        <w:numPr>
          <w:ilvl w:val="0"/>
          <w:numId w:val="5"/>
        </w:numPr>
      </w:pPr>
      <w:r w:rsidRPr="00172DDF">
        <w:t>One child or young person</w:t>
      </w:r>
    </w:p>
    <w:p w14:paraId="49F8A4B0" w14:textId="77777777" w:rsidR="00172DDF" w:rsidRPr="00172DDF" w:rsidRDefault="00172DDF" w:rsidP="00172DDF">
      <w:pPr>
        <w:numPr>
          <w:ilvl w:val="0"/>
          <w:numId w:val="5"/>
        </w:numPr>
      </w:pPr>
      <w:r w:rsidRPr="00172DDF">
        <w:t>Aged 7–17</w:t>
      </w:r>
    </w:p>
    <w:p w14:paraId="62D2DC16" w14:textId="77777777" w:rsidR="00172DDF" w:rsidRPr="00172DDF" w:rsidRDefault="00172DDF" w:rsidP="00172DDF">
      <w:pPr>
        <w:numPr>
          <w:ilvl w:val="0"/>
          <w:numId w:val="5"/>
        </w:numPr>
      </w:pPr>
      <w:r w:rsidRPr="00172DDF">
        <w:t>Of any gender</w:t>
      </w:r>
    </w:p>
    <w:p w14:paraId="4E522443" w14:textId="77777777" w:rsidR="00172DDF" w:rsidRPr="00172DDF" w:rsidRDefault="00172DDF" w:rsidP="00172DDF">
      <w:pPr>
        <w:numPr>
          <w:ilvl w:val="0"/>
          <w:numId w:val="5"/>
        </w:numPr>
      </w:pPr>
      <w:r w:rsidRPr="00172DDF">
        <w:t>Requiring short, medium or long-term care</w:t>
      </w:r>
    </w:p>
    <w:p w14:paraId="40460A3D" w14:textId="77777777" w:rsidR="00172DDF" w:rsidRPr="00172DDF" w:rsidRDefault="00172DDF" w:rsidP="00172DDF">
      <w:r w:rsidRPr="00172DDF">
        <w:t>We may consider children and young people who have experienced:</w:t>
      </w:r>
    </w:p>
    <w:p w14:paraId="5A038F37" w14:textId="77777777" w:rsidR="00172DDF" w:rsidRPr="00172DDF" w:rsidRDefault="00172DDF" w:rsidP="00172DDF">
      <w:pPr>
        <w:numPr>
          <w:ilvl w:val="0"/>
          <w:numId w:val="6"/>
        </w:numPr>
      </w:pPr>
      <w:r w:rsidRPr="00172DDF">
        <w:t>Abuse (physical, emotional or sexual)</w:t>
      </w:r>
    </w:p>
    <w:p w14:paraId="559A0EA4" w14:textId="77777777" w:rsidR="00172DDF" w:rsidRPr="00172DDF" w:rsidRDefault="00172DDF" w:rsidP="00172DDF">
      <w:pPr>
        <w:numPr>
          <w:ilvl w:val="0"/>
          <w:numId w:val="6"/>
        </w:numPr>
      </w:pPr>
      <w:r w:rsidRPr="00172DDF">
        <w:t>Crisis and significant instability</w:t>
      </w:r>
    </w:p>
    <w:p w14:paraId="1230855E" w14:textId="77777777" w:rsidR="00172DDF" w:rsidRPr="00172DDF" w:rsidRDefault="00172DDF" w:rsidP="00172DDF">
      <w:pPr>
        <w:numPr>
          <w:ilvl w:val="0"/>
          <w:numId w:val="6"/>
        </w:numPr>
      </w:pPr>
      <w:r w:rsidRPr="00172DDF">
        <w:t>Offending or anti-social behaviour</w:t>
      </w:r>
    </w:p>
    <w:p w14:paraId="6A792E2E" w14:textId="77777777" w:rsidR="00172DDF" w:rsidRPr="00172DDF" w:rsidRDefault="00172DDF" w:rsidP="00172DDF">
      <w:pPr>
        <w:numPr>
          <w:ilvl w:val="0"/>
          <w:numId w:val="6"/>
        </w:numPr>
      </w:pPr>
      <w:r w:rsidRPr="00172DDF">
        <w:t>Exploitation (including CSE)</w:t>
      </w:r>
    </w:p>
    <w:p w14:paraId="45ED7C0B" w14:textId="77777777" w:rsidR="00172DDF" w:rsidRPr="00172DDF" w:rsidRDefault="00172DDF" w:rsidP="00172DDF">
      <w:pPr>
        <w:numPr>
          <w:ilvl w:val="0"/>
          <w:numId w:val="6"/>
        </w:numPr>
      </w:pPr>
      <w:r w:rsidRPr="00172DDF">
        <w:lastRenderedPageBreak/>
        <w:t>Self-harm behaviours</w:t>
      </w:r>
    </w:p>
    <w:p w14:paraId="42BC89F6" w14:textId="77777777" w:rsidR="00172DDF" w:rsidRPr="00172DDF" w:rsidRDefault="00172DDF" w:rsidP="00172DDF">
      <w:pPr>
        <w:numPr>
          <w:ilvl w:val="0"/>
          <w:numId w:val="6"/>
        </w:numPr>
      </w:pPr>
      <w:r w:rsidRPr="00172DDF">
        <w:t>Neurodevelopmental needs (e.g., ASC, ADHD)</w:t>
      </w:r>
    </w:p>
    <w:p w14:paraId="560585A5" w14:textId="77777777" w:rsidR="00172DDF" w:rsidRPr="00172DDF" w:rsidRDefault="00172DDF" w:rsidP="00172DDF">
      <w:pPr>
        <w:numPr>
          <w:ilvl w:val="0"/>
          <w:numId w:val="6"/>
        </w:numPr>
      </w:pPr>
      <w:r w:rsidRPr="00172DDF">
        <w:t>Learning disabilities and/or mental health needs</w:t>
      </w:r>
    </w:p>
    <w:p w14:paraId="2CE4FEA2" w14:textId="77777777" w:rsidR="00172DDF" w:rsidRPr="00172DDF" w:rsidRDefault="00172DDF" w:rsidP="00172DDF">
      <w:pPr>
        <w:numPr>
          <w:ilvl w:val="0"/>
          <w:numId w:val="6"/>
        </w:numPr>
      </w:pPr>
      <w:r w:rsidRPr="00172DDF">
        <w:t>Legal restrictions (including inherent jurisdiction / deprivation of liberty conditions)</w:t>
      </w:r>
    </w:p>
    <w:p w14:paraId="680951B5" w14:textId="77777777" w:rsidR="00172DDF" w:rsidRPr="00172DDF" w:rsidRDefault="00172DDF" w:rsidP="00172DDF">
      <w:r w:rsidRPr="00172DDF">
        <w:t>We support each child to settle in by encouraging personal belongings to be brought into the home and providing essentials (bedding, towels and toiletries). Each child receives a Children’s Guide on admission.</w:t>
      </w:r>
    </w:p>
    <w:p w14:paraId="48908A2F" w14:textId="77777777" w:rsidR="00172DDF" w:rsidRPr="00172DDF" w:rsidRDefault="00172DDF" w:rsidP="00172DDF">
      <w:r w:rsidRPr="00172DDF">
        <w:pict w14:anchorId="4C8511C1">
          <v:rect id="_x0000_i1077" style="width:0;height:1.5pt" o:hralign="center" o:hrstd="t" o:hr="t" fillcolor="#a0a0a0" stroked="f"/>
        </w:pict>
      </w:r>
    </w:p>
    <w:p w14:paraId="6C120975" w14:textId="77777777" w:rsidR="00172DDF" w:rsidRPr="00172DDF" w:rsidRDefault="00172DDF" w:rsidP="00172DDF">
      <w:pPr>
        <w:rPr>
          <w:b/>
          <w:bCs/>
        </w:rPr>
      </w:pPr>
      <w:r w:rsidRPr="00172DDF">
        <w:rPr>
          <w:b/>
          <w:bCs/>
        </w:rPr>
        <w:t>2. Our Ethos, Philosophy and Desired Outcomes</w:t>
      </w:r>
    </w:p>
    <w:p w14:paraId="0B01CC49" w14:textId="77777777" w:rsidR="00172DDF" w:rsidRPr="00172DDF" w:rsidRDefault="00172DDF" w:rsidP="00172DDF">
      <w:r w:rsidRPr="00172DDF">
        <w:t>We provide a safe and supportive environment that promotes independence, emotional wellbeing and positive outcomes. We believe children do best when adults are consistent, fair, relational and therapeutic in their approach.</w:t>
      </w:r>
    </w:p>
    <w:p w14:paraId="5F06CCE2" w14:textId="77777777" w:rsidR="00172DDF" w:rsidRPr="00172DDF" w:rsidRDefault="00172DDF" w:rsidP="00172DDF">
      <w:r w:rsidRPr="00172DDF">
        <w:t>We work to support children to:</w:t>
      </w:r>
    </w:p>
    <w:p w14:paraId="22EED511" w14:textId="77777777" w:rsidR="00172DDF" w:rsidRPr="00172DDF" w:rsidRDefault="00172DDF" w:rsidP="00172DDF">
      <w:pPr>
        <w:numPr>
          <w:ilvl w:val="0"/>
          <w:numId w:val="7"/>
        </w:numPr>
      </w:pPr>
      <w:r w:rsidRPr="00172DDF">
        <w:t>Feel a sense of belonging</w:t>
      </w:r>
    </w:p>
    <w:p w14:paraId="3F70B448" w14:textId="77777777" w:rsidR="00172DDF" w:rsidRPr="00172DDF" w:rsidRDefault="00172DDF" w:rsidP="00172DDF">
      <w:pPr>
        <w:numPr>
          <w:ilvl w:val="0"/>
          <w:numId w:val="7"/>
        </w:numPr>
      </w:pPr>
      <w:r w:rsidRPr="00172DDF">
        <w:t>Rebuild trust in adults and relationships</w:t>
      </w:r>
    </w:p>
    <w:p w14:paraId="61C11674" w14:textId="77777777" w:rsidR="00172DDF" w:rsidRPr="00172DDF" w:rsidRDefault="00172DDF" w:rsidP="00172DDF">
      <w:pPr>
        <w:numPr>
          <w:ilvl w:val="0"/>
          <w:numId w:val="7"/>
        </w:numPr>
      </w:pPr>
      <w:r w:rsidRPr="00172DDF">
        <w:t>Develop confidence and self-worth</w:t>
      </w:r>
    </w:p>
    <w:p w14:paraId="47875A59" w14:textId="77777777" w:rsidR="00172DDF" w:rsidRPr="00172DDF" w:rsidRDefault="00172DDF" w:rsidP="00172DDF">
      <w:pPr>
        <w:numPr>
          <w:ilvl w:val="0"/>
          <w:numId w:val="7"/>
        </w:numPr>
      </w:pPr>
      <w:r w:rsidRPr="00172DDF">
        <w:t>Stabilise education and daily routines</w:t>
      </w:r>
    </w:p>
    <w:p w14:paraId="2EA1EBFD" w14:textId="77777777" w:rsidR="00172DDF" w:rsidRPr="00172DDF" w:rsidRDefault="00172DDF" w:rsidP="00172DDF">
      <w:pPr>
        <w:numPr>
          <w:ilvl w:val="0"/>
          <w:numId w:val="7"/>
        </w:numPr>
      </w:pPr>
      <w:r w:rsidRPr="00172DDF">
        <w:t>Learn to recognise triggers and manage emotions safely</w:t>
      </w:r>
    </w:p>
    <w:p w14:paraId="14E712B8" w14:textId="77777777" w:rsidR="00172DDF" w:rsidRPr="00172DDF" w:rsidRDefault="00172DDF" w:rsidP="00172DDF">
      <w:pPr>
        <w:numPr>
          <w:ilvl w:val="0"/>
          <w:numId w:val="7"/>
        </w:numPr>
      </w:pPr>
      <w:r w:rsidRPr="00172DDF">
        <w:t>Take responsibility in an age-appropriate way</w:t>
      </w:r>
    </w:p>
    <w:p w14:paraId="7FC5CD18" w14:textId="77777777" w:rsidR="00172DDF" w:rsidRPr="00172DDF" w:rsidRDefault="00172DDF" w:rsidP="00172DDF">
      <w:pPr>
        <w:numPr>
          <w:ilvl w:val="0"/>
          <w:numId w:val="7"/>
        </w:numPr>
      </w:pPr>
      <w:r w:rsidRPr="00172DDF">
        <w:t>Repair relationships after conflict</w:t>
      </w:r>
    </w:p>
    <w:p w14:paraId="625A1105" w14:textId="77777777" w:rsidR="00172DDF" w:rsidRPr="00172DDF" w:rsidRDefault="00172DDF" w:rsidP="00172DDF">
      <w:r w:rsidRPr="00172DDF">
        <w:pict w14:anchorId="2806F461">
          <v:rect id="_x0000_i1078" style="width:0;height:1.5pt" o:hralign="center" o:hrstd="t" o:hr="t" fillcolor="#a0a0a0" stroked="f"/>
        </w:pict>
      </w:r>
    </w:p>
    <w:p w14:paraId="344BDE09" w14:textId="77777777" w:rsidR="00172DDF" w:rsidRPr="00172DDF" w:rsidRDefault="00172DDF" w:rsidP="00172DDF">
      <w:pPr>
        <w:rPr>
          <w:b/>
          <w:bCs/>
        </w:rPr>
      </w:pPr>
      <w:r w:rsidRPr="00172DDF">
        <w:rPr>
          <w:b/>
          <w:bCs/>
        </w:rPr>
        <w:t>3. The Accommodation</w:t>
      </w:r>
    </w:p>
    <w:p w14:paraId="5D91C45A" w14:textId="77777777" w:rsidR="00172DDF" w:rsidRPr="00172DDF" w:rsidRDefault="00172DDF" w:rsidP="00172DDF">
      <w:r w:rsidRPr="00172DDF">
        <w:t>Frog House is a modernised mid-terrace property with:</w:t>
      </w:r>
    </w:p>
    <w:p w14:paraId="3C269CAB" w14:textId="77777777" w:rsidR="00172DDF" w:rsidRPr="00172DDF" w:rsidRDefault="00172DDF" w:rsidP="00172DDF">
      <w:pPr>
        <w:numPr>
          <w:ilvl w:val="0"/>
          <w:numId w:val="8"/>
        </w:numPr>
      </w:pPr>
      <w:r w:rsidRPr="00172DDF">
        <w:t>Comfortable communal living space</w:t>
      </w:r>
    </w:p>
    <w:p w14:paraId="30551C25" w14:textId="77777777" w:rsidR="00172DDF" w:rsidRPr="00172DDF" w:rsidRDefault="00172DDF" w:rsidP="00172DDF">
      <w:pPr>
        <w:numPr>
          <w:ilvl w:val="0"/>
          <w:numId w:val="8"/>
        </w:numPr>
      </w:pPr>
      <w:r w:rsidRPr="00172DDF">
        <w:t>A young person’s bedroom designed to feel welcoming and homely</w:t>
      </w:r>
    </w:p>
    <w:p w14:paraId="4C2590FB" w14:textId="77777777" w:rsidR="00172DDF" w:rsidRPr="00172DDF" w:rsidRDefault="00172DDF" w:rsidP="00172DDF">
      <w:pPr>
        <w:numPr>
          <w:ilvl w:val="0"/>
          <w:numId w:val="8"/>
        </w:numPr>
      </w:pPr>
      <w:r w:rsidRPr="00172DDF">
        <w:t>Offices/sleep-in spaces for staff</w:t>
      </w:r>
    </w:p>
    <w:p w14:paraId="5837C958" w14:textId="77777777" w:rsidR="00172DDF" w:rsidRPr="00172DDF" w:rsidRDefault="00172DDF" w:rsidP="00172DDF">
      <w:pPr>
        <w:numPr>
          <w:ilvl w:val="0"/>
          <w:numId w:val="8"/>
        </w:numPr>
      </w:pPr>
      <w:r w:rsidRPr="00172DDF">
        <w:t>A modern bathroom</w:t>
      </w:r>
    </w:p>
    <w:p w14:paraId="6F341ED7" w14:textId="77777777" w:rsidR="00172DDF" w:rsidRPr="00172DDF" w:rsidRDefault="00172DDF" w:rsidP="00172DDF">
      <w:pPr>
        <w:numPr>
          <w:ilvl w:val="0"/>
          <w:numId w:val="8"/>
        </w:numPr>
      </w:pPr>
      <w:r w:rsidRPr="00172DDF">
        <w:t>A rear garden suitable for outdoor activities and relaxation</w:t>
      </w:r>
    </w:p>
    <w:p w14:paraId="3D901132" w14:textId="77777777" w:rsidR="00172DDF" w:rsidRPr="00172DDF" w:rsidRDefault="00172DDF" w:rsidP="00172DDF">
      <w:r w:rsidRPr="00172DDF">
        <w:lastRenderedPageBreak/>
        <w:t>Children are supported to personalise their bedroom, with an agreed budget where appropriate, to promote belonging and comfort.</w:t>
      </w:r>
    </w:p>
    <w:p w14:paraId="5AF08500" w14:textId="77777777" w:rsidR="00172DDF" w:rsidRPr="00172DDF" w:rsidRDefault="00172DDF" w:rsidP="00172DDF">
      <w:r w:rsidRPr="00172DDF">
        <w:pict w14:anchorId="2DD9E9DB">
          <v:rect id="_x0000_i1079" style="width:0;height:1.5pt" o:hralign="center" o:hrstd="t" o:hr="t" fillcolor="#a0a0a0" stroked="f"/>
        </w:pict>
      </w:r>
    </w:p>
    <w:p w14:paraId="582B4909" w14:textId="77777777" w:rsidR="00172DDF" w:rsidRPr="00172DDF" w:rsidRDefault="00172DDF" w:rsidP="00172DDF">
      <w:pPr>
        <w:rPr>
          <w:b/>
          <w:bCs/>
        </w:rPr>
      </w:pPr>
      <w:r w:rsidRPr="00172DDF">
        <w:rPr>
          <w:b/>
          <w:bCs/>
        </w:rPr>
        <w:t>4. Our Location</w:t>
      </w:r>
    </w:p>
    <w:p w14:paraId="0F9DB7AA" w14:textId="77777777" w:rsidR="00172DDF" w:rsidRPr="00172DDF" w:rsidRDefault="00172DDF" w:rsidP="00172DDF">
      <w:r w:rsidRPr="00172DDF">
        <w:t xml:space="preserve">Frog House </w:t>
      </w:r>
      <w:proofErr w:type="gramStart"/>
      <w:r w:rsidRPr="00172DDF">
        <w:t>is located in</w:t>
      </w:r>
      <w:proofErr w:type="gramEnd"/>
      <w:r w:rsidRPr="00172DDF">
        <w:t xml:space="preserve"> Wigan, with good access to:</w:t>
      </w:r>
    </w:p>
    <w:p w14:paraId="309B9C9F" w14:textId="77777777" w:rsidR="00172DDF" w:rsidRPr="00172DDF" w:rsidRDefault="00172DDF" w:rsidP="00172DDF">
      <w:pPr>
        <w:numPr>
          <w:ilvl w:val="0"/>
          <w:numId w:val="9"/>
        </w:numPr>
      </w:pPr>
      <w:r w:rsidRPr="00172DDF">
        <w:t>Local schools and colleges</w:t>
      </w:r>
    </w:p>
    <w:p w14:paraId="5CD44B83" w14:textId="77777777" w:rsidR="00172DDF" w:rsidRPr="00172DDF" w:rsidRDefault="00172DDF" w:rsidP="00172DDF">
      <w:pPr>
        <w:numPr>
          <w:ilvl w:val="0"/>
          <w:numId w:val="9"/>
        </w:numPr>
      </w:pPr>
      <w:r w:rsidRPr="00172DDF">
        <w:t>Shops and community facilities</w:t>
      </w:r>
    </w:p>
    <w:p w14:paraId="5761D2EE" w14:textId="77777777" w:rsidR="00172DDF" w:rsidRPr="00172DDF" w:rsidRDefault="00172DDF" w:rsidP="00172DDF">
      <w:pPr>
        <w:numPr>
          <w:ilvl w:val="0"/>
          <w:numId w:val="9"/>
        </w:numPr>
      </w:pPr>
      <w:r w:rsidRPr="00172DDF">
        <w:t>Youth groups and leisure activities</w:t>
      </w:r>
    </w:p>
    <w:p w14:paraId="5EE5D557" w14:textId="77777777" w:rsidR="00172DDF" w:rsidRPr="00172DDF" w:rsidRDefault="00172DDF" w:rsidP="00172DDF">
      <w:pPr>
        <w:numPr>
          <w:ilvl w:val="0"/>
          <w:numId w:val="9"/>
        </w:numPr>
      </w:pPr>
      <w:r w:rsidRPr="00172DDF">
        <w:t>GP, dental and optician services</w:t>
      </w:r>
    </w:p>
    <w:p w14:paraId="3236657D" w14:textId="77777777" w:rsidR="00172DDF" w:rsidRPr="00172DDF" w:rsidRDefault="00172DDF" w:rsidP="00172DDF">
      <w:pPr>
        <w:numPr>
          <w:ilvl w:val="0"/>
          <w:numId w:val="9"/>
        </w:numPr>
      </w:pPr>
      <w:r w:rsidRPr="00172DDF">
        <w:t>Bus routes (including a stop close to the home)</w:t>
      </w:r>
    </w:p>
    <w:p w14:paraId="6BE0420D" w14:textId="77777777" w:rsidR="00172DDF" w:rsidRPr="00172DDF" w:rsidRDefault="00172DDF" w:rsidP="00172DDF">
      <w:pPr>
        <w:numPr>
          <w:ilvl w:val="0"/>
          <w:numId w:val="9"/>
        </w:numPr>
      </w:pPr>
      <w:r w:rsidRPr="00172DDF">
        <w:t xml:space="preserve">Rail links via Wigan </w:t>
      </w:r>
      <w:proofErr w:type="spellStart"/>
      <w:r w:rsidRPr="00172DDF">
        <w:t>Wallgate</w:t>
      </w:r>
      <w:proofErr w:type="spellEnd"/>
      <w:r w:rsidRPr="00172DDF">
        <w:t xml:space="preserve"> and Wigan </w:t>
      </w:r>
      <w:proofErr w:type="gramStart"/>
      <w:r w:rsidRPr="00172DDF">
        <w:t>North Western</w:t>
      </w:r>
      <w:proofErr w:type="gramEnd"/>
    </w:p>
    <w:p w14:paraId="1552DE2B" w14:textId="77777777" w:rsidR="00172DDF" w:rsidRPr="00172DDF" w:rsidRDefault="00172DDF" w:rsidP="00172DDF">
      <w:r w:rsidRPr="00172DDF">
        <w:t>A location risk assessment is completed and reviewed annually.</w:t>
      </w:r>
    </w:p>
    <w:p w14:paraId="2721CB66" w14:textId="77777777" w:rsidR="00172DDF" w:rsidRPr="00172DDF" w:rsidRDefault="00172DDF" w:rsidP="00172DDF">
      <w:r w:rsidRPr="00172DDF">
        <w:pict w14:anchorId="1BED4E61">
          <v:rect id="_x0000_i1080" style="width:0;height:1.5pt" o:hralign="center" o:hrstd="t" o:hr="t" fillcolor="#a0a0a0" stroked="f"/>
        </w:pict>
      </w:r>
    </w:p>
    <w:p w14:paraId="5684CF3C" w14:textId="77777777" w:rsidR="00172DDF" w:rsidRPr="00172DDF" w:rsidRDefault="00172DDF" w:rsidP="00172DDF">
      <w:pPr>
        <w:rPr>
          <w:b/>
          <w:bCs/>
        </w:rPr>
      </w:pPr>
      <w:r w:rsidRPr="00172DDF">
        <w:rPr>
          <w:b/>
          <w:bCs/>
        </w:rPr>
        <w:t>5–28 (Website-friendly section summaries)</w:t>
      </w:r>
    </w:p>
    <w:p w14:paraId="400F2011" w14:textId="77777777" w:rsidR="00172DDF" w:rsidRPr="00172DDF" w:rsidRDefault="00172DDF" w:rsidP="00172DDF">
      <w:r w:rsidRPr="00172DDF">
        <w:t>To keep your website readable, each of the remaining SOP areas can appear as a short expandable section. Here are “blurb” summaries you can paste under each heading:</w:t>
      </w:r>
    </w:p>
    <w:p w14:paraId="1F4DFBE7" w14:textId="77777777" w:rsidR="00172DDF" w:rsidRPr="00172DDF" w:rsidRDefault="00172DDF" w:rsidP="00172DDF">
      <w:r w:rsidRPr="00172DDF">
        <w:rPr>
          <w:b/>
          <w:bCs/>
        </w:rPr>
        <w:t>5. Cultural, Linguistic and Religious Needs</w:t>
      </w:r>
      <w:r w:rsidRPr="00172DDF">
        <w:br/>
        <w:t>We actively promote identity, inclusion and respect. We support children’s cultural, language and religious needs through planning, discussion, and practical arrangements, including access to places of worship, culturally appropriate food and celebrating key festivals.</w:t>
      </w:r>
    </w:p>
    <w:p w14:paraId="0DC58A96" w14:textId="77777777" w:rsidR="00172DDF" w:rsidRPr="00172DDF" w:rsidRDefault="00172DDF" w:rsidP="00172DDF">
      <w:r w:rsidRPr="00172DDF">
        <w:rPr>
          <w:b/>
          <w:bCs/>
        </w:rPr>
        <w:t>6. Complaints Procedure</w:t>
      </w:r>
      <w:r w:rsidRPr="00172DDF">
        <w:br/>
        <w:t>Children are supported to raise concerns in a safe, accessible way. They have access to advocacy, their social worker, Ofsted and external helplines. All complaints are recorded, responded to appropriately, and reviewed by leadership.</w:t>
      </w:r>
    </w:p>
    <w:p w14:paraId="6E6262C6" w14:textId="77777777" w:rsidR="00172DDF" w:rsidRPr="00172DDF" w:rsidRDefault="00172DDF" w:rsidP="00172DDF">
      <w:r w:rsidRPr="00172DDF">
        <w:rPr>
          <w:b/>
          <w:bCs/>
        </w:rPr>
        <w:t>7. Access to Policies and Procedures</w:t>
      </w:r>
      <w:r w:rsidRPr="00172DDF">
        <w:br/>
        <w:t>Policies and procedures are available at the home and shared with relevant professionals involved in safeguarding and care planning.</w:t>
      </w:r>
    </w:p>
    <w:p w14:paraId="4F742E4E" w14:textId="77777777" w:rsidR="00172DDF" w:rsidRPr="00172DDF" w:rsidRDefault="00172DDF" w:rsidP="00172DDF">
      <w:r w:rsidRPr="00172DDF">
        <w:rPr>
          <w:b/>
          <w:bCs/>
        </w:rPr>
        <w:t>8. Consultation and Children’s Voice</w:t>
      </w:r>
      <w:r w:rsidRPr="00172DDF">
        <w:br/>
        <w:t>Children’s wishes and feelings are central. We gather views through key work, daily conversations and weekly home meetings. Children are also encouraged to contribute to decisions and, where appropriate, staff recruitment.</w:t>
      </w:r>
    </w:p>
    <w:p w14:paraId="3721413A" w14:textId="77777777" w:rsidR="00172DDF" w:rsidRPr="00172DDF" w:rsidRDefault="00172DDF" w:rsidP="00172DDF">
      <w:r w:rsidRPr="00172DDF">
        <w:rPr>
          <w:b/>
          <w:bCs/>
        </w:rPr>
        <w:lastRenderedPageBreak/>
        <w:t>9. Anti-Discriminatory Practice and Children’s Rights</w:t>
      </w:r>
      <w:r w:rsidRPr="00172DDF">
        <w:br/>
        <w:t>We promote equality, challenge discrimination and ensure children know their rights. Bullying is not tolerated, and support is available for both victims and those displaying harmful behaviour.</w:t>
      </w:r>
    </w:p>
    <w:p w14:paraId="11D00E36" w14:textId="77777777" w:rsidR="00172DDF" w:rsidRPr="00172DDF" w:rsidRDefault="00172DDF" w:rsidP="00172DDF">
      <w:r w:rsidRPr="00172DDF">
        <w:rPr>
          <w:b/>
          <w:bCs/>
        </w:rPr>
        <w:t>10. Education and Learning Support</w:t>
      </w:r>
      <w:r w:rsidRPr="00172DDF">
        <w:br/>
        <w:t>We promote and support education, training and vocational pathways. We work closely with local education providers and professionals to reduce disruption and build positive engagement with learning.</w:t>
      </w:r>
    </w:p>
    <w:p w14:paraId="75BDF3AC" w14:textId="77777777" w:rsidR="00172DDF" w:rsidRPr="00172DDF" w:rsidRDefault="00172DDF" w:rsidP="00172DDF">
      <w:r w:rsidRPr="00172DDF">
        <w:rPr>
          <w:b/>
          <w:bCs/>
        </w:rPr>
        <w:t>11. Activities and Community Engagement</w:t>
      </w:r>
      <w:r w:rsidRPr="00172DDF">
        <w:br/>
        <w:t>Children are supported to access activities that build confidence, wellbeing and social inclusion. Planning is completed with the child weekly and adapted to their needs and interests.</w:t>
      </w:r>
    </w:p>
    <w:p w14:paraId="133A0752" w14:textId="77777777" w:rsidR="00172DDF" w:rsidRPr="00172DDF" w:rsidRDefault="00172DDF" w:rsidP="00172DDF">
      <w:r w:rsidRPr="00172DDF">
        <w:rPr>
          <w:b/>
          <w:bCs/>
        </w:rPr>
        <w:t>12. Health Care and Therapeutic Support</w:t>
      </w:r>
      <w:r w:rsidRPr="00172DDF">
        <w:br/>
        <w:t>Children are registered with local health services and receive routine health checks. Therapeutic support is available in-house and via partner clinicians, with a trauma-informed approach used daily by staff.</w:t>
      </w:r>
    </w:p>
    <w:p w14:paraId="343795C1" w14:textId="77777777" w:rsidR="00172DDF" w:rsidRPr="00172DDF" w:rsidRDefault="00172DDF" w:rsidP="00172DDF">
      <w:r w:rsidRPr="00172DDF">
        <w:rPr>
          <w:b/>
          <w:bCs/>
        </w:rPr>
        <w:t>13. Family Time and Contact</w:t>
      </w:r>
      <w:r w:rsidRPr="00172DDF">
        <w:br/>
        <w:t>We support children to maintain important relationships where it is safe and agreed within their plan. Family time is encouraged and facilitated in line with risk assessment and professional guidance.</w:t>
      </w:r>
    </w:p>
    <w:p w14:paraId="5378D318" w14:textId="77777777" w:rsidR="00172DDF" w:rsidRPr="00172DDF" w:rsidRDefault="00172DDF" w:rsidP="00172DDF">
      <w:r w:rsidRPr="00172DDF">
        <w:rPr>
          <w:b/>
          <w:bCs/>
        </w:rPr>
        <w:t>14. Monitoring, Privacy and Surveillance</w:t>
      </w:r>
      <w:r w:rsidRPr="00172DDF">
        <w:br/>
        <w:t>Children’s privacy is respected. Any monitoring measures (such as door sensors) are proportionate, risk-assessed and agreed with relevant professionals, and used only when necessary for safeguarding.</w:t>
      </w:r>
    </w:p>
    <w:p w14:paraId="5D473295" w14:textId="77777777" w:rsidR="00172DDF" w:rsidRPr="00172DDF" w:rsidRDefault="00172DDF" w:rsidP="00172DDF">
      <w:r w:rsidRPr="00172DDF">
        <w:rPr>
          <w:b/>
          <w:bCs/>
        </w:rPr>
        <w:t>15. Positive Behaviour Support and Physical Intervention</w:t>
      </w:r>
      <w:r w:rsidRPr="00172DDF">
        <w:br/>
        <w:t>We use relational, therapeutic behaviour support with consistent boundaries and restorative repair. Physical intervention is a last resort, used only to prevent harm, and is never a punishment.</w:t>
      </w:r>
    </w:p>
    <w:p w14:paraId="0F6C696E" w14:textId="77777777" w:rsidR="00172DDF" w:rsidRPr="00172DDF" w:rsidRDefault="00172DDF" w:rsidP="00172DDF">
      <w:r w:rsidRPr="00172DDF">
        <w:rPr>
          <w:b/>
          <w:bCs/>
        </w:rPr>
        <w:t>16. Safeguarding and Child Protection</w:t>
      </w:r>
      <w:r w:rsidRPr="00172DDF">
        <w:br/>
        <w:t>Safeguarding is central to everything we do. Staff are trained and follow clear procedures for concerns, disclosures, allegations and multi-agency working.</w:t>
      </w:r>
    </w:p>
    <w:p w14:paraId="4D1558A2" w14:textId="77777777" w:rsidR="00172DDF" w:rsidRPr="00172DDF" w:rsidRDefault="00172DDF" w:rsidP="00172DDF">
      <w:r w:rsidRPr="00172DDF">
        <w:rPr>
          <w:b/>
          <w:bCs/>
        </w:rPr>
        <w:t>17. Missing from Home</w:t>
      </w:r>
      <w:r w:rsidRPr="00172DDF">
        <w:br/>
        <w:t>We follow a clear missing procedure including risk planning, prompt action, police liaison and return-home support. Children are supported to reduce missing episodes through relationships and prevention planning.</w:t>
      </w:r>
    </w:p>
    <w:p w14:paraId="46F6171E" w14:textId="77777777" w:rsidR="00172DDF" w:rsidRPr="00172DDF" w:rsidRDefault="00172DDF" w:rsidP="00172DDF">
      <w:r w:rsidRPr="00172DDF">
        <w:rPr>
          <w:b/>
          <w:bCs/>
        </w:rPr>
        <w:t>18. Preventing Bullying</w:t>
      </w:r>
      <w:r w:rsidRPr="00172DDF">
        <w:br/>
      </w:r>
      <w:proofErr w:type="spellStart"/>
      <w:r w:rsidRPr="00172DDF">
        <w:t>Bullying</w:t>
      </w:r>
      <w:proofErr w:type="spellEnd"/>
      <w:r w:rsidRPr="00172DDF">
        <w:t xml:space="preserve"> is not acceptable. We respond promptly, record concerns, complete risk </w:t>
      </w:r>
      <w:r w:rsidRPr="00172DDF">
        <w:lastRenderedPageBreak/>
        <w:t>assessments where needed, and provide support and education to promote safety and respect.</w:t>
      </w:r>
    </w:p>
    <w:p w14:paraId="69E1B2B0" w14:textId="77777777" w:rsidR="00172DDF" w:rsidRPr="00172DDF" w:rsidRDefault="00172DDF" w:rsidP="00172DDF">
      <w:r w:rsidRPr="00172DDF">
        <w:rPr>
          <w:b/>
          <w:bCs/>
        </w:rPr>
        <w:t>19. Risk Taking and Risk Management</w:t>
      </w:r>
      <w:r w:rsidRPr="00172DDF">
        <w:br/>
        <w:t>We support healthy risk-taking and help children understand consequences and safer choices. Risk assessments are ongoing and proportionate.</w:t>
      </w:r>
    </w:p>
    <w:p w14:paraId="1290ED25" w14:textId="77777777" w:rsidR="00172DDF" w:rsidRPr="00172DDF" w:rsidRDefault="00172DDF" w:rsidP="00172DDF">
      <w:r w:rsidRPr="00172DDF">
        <w:rPr>
          <w:b/>
          <w:bCs/>
        </w:rPr>
        <w:t>20. Promoting Independence</w:t>
      </w:r>
      <w:r w:rsidRPr="00172DDF">
        <w:br/>
        <w:t>We support independence in an age-appropriate, safe way through life skills, routines, community access and an agreed independence plan.</w:t>
      </w:r>
    </w:p>
    <w:p w14:paraId="5CE66ACC" w14:textId="77777777" w:rsidR="00172DDF" w:rsidRPr="00172DDF" w:rsidRDefault="00172DDF" w:rsidP="00172DDF">
      <w:r w:rsidRPr="00172DDF">
        <w:rPr>
          <w:b/>
          <w:bCs/>
        </w:rPr>
        <w:t>21. Fire Safety</w:t>
      </w:r>
      <w:r w:rsidRPr="00172DDF">
        <w:br/>
        <w:t>We have a Fire Risk Assessment in place and follow clear fire safety procedures, checks and evacuation planning.</w:t>
      </w:r>
    </w:p>
    <w:p w14:paraId="0E9C0375" w14:textId="77777777" w:rsidR="00172DDF" w:rsidRPr="00172DDF" w:rsidRDefault="00172DDF" w:rsidP="00172DDF">
      <w:r w:rsidRPr="00172DDF">
        <w:rPr>
          <w:b/>
          <w:bCs/>
        </w:rPr>
        <w:t>22. Medication</w:t>
      </w:r>
      <w:r w:rsidRPr="00172DDF">
        <w:br/>
      </w:r>
      <w:proofErr w:type="spellStart"/>
      <w:r w:rsidRPr="00172DDF">
        <w:t>Medication</w:t>
      </w:r>
      <w:proofErr w:type="spellEnd"/>
      <w:r w:rsidRPr="00172DDF">
        <w:t xml:space="preserve"> is stored securely and administered by trained staff. Recording is completed on MAR sheets and health plans are maintained.</w:t>
      </w:r>
    </w:p>
    <w:p w14:paraId="123D4FD6" w14:textId="77777777" w:rsidR="00172DDF" w:rsidRPr="00172DDF" w:rsidRDefault="00172DDF" w:rsidP="00172DDF">
      <w:r w:rsidRPr="00172DDF">
        <w:rPr>
          <w:b/>
          <w:bCs/>
        </w:rPr>
        <w:t>23. Leadership and Registration</w:t>
      </w:r>
      <w:r w:rsidRPr="00172DDF">
        <w:br/>
        <w:t>Details of the Registered Provider, Responsible Individual and Registered Manager are available, alongside qualifications and relevant experience.</w:t>
      </w:r>
    </w:p>
    <w:p w14:paraId="552C7E49" w14:textId="77777777" w:rsidR="00172DDF" w:rsidRPr="00172DDF" w:rsidRDefault="00172DDF" w:rsidP="00172DDF">
      <w:r w:rsidRPr="00172DDF">
        <w:rPr>
          <w:b/>
          <w:bCs/>
        </w:rPr>
        <w:t>24–26. Staffing and Structure</w:t>
      </w:r>
      <w:r w:rsidRPr="00172DDF">
        <w:br/>
        <w:t xml:space="preserve">We </w:t>
      </w:r>
      <w:proofErr w:type="gramStart"/>
      <w:r w:rsidRPr="00172DDF">
        <w:t>recruit safely,</w:t>
      </w:r>
      <w:proofErr w:type="gramEnd"/>
      <w:r w:rsidRPr="00172DDF">
        <w:t xml:space="preserve"> train consistently and maintain supervision and appraisal systems to support high-quality care. We work to maintain an appropriate staff mix, including gender balance where possible.</w:t>
      </w:r>
    </w:p>
    <w:p w14:paraId="26F5A38B" w14:textId="77777777" w:rsidR="00172DDF" w:rsidRPr="00172DDF" w:rsidRDefault="00172DDF" w:rsidP="00172DDF">
      <w:r w:rsidRPr="00172DDF">
        <w:rPr>
          <w:b/>
          <w:bCs/>
        </w:rPr>
        <w:t>27–28. Care Planning, Admissions and Reviews</w:t>
      </w:r>
      <w:r w:rsidRPr="00172DDF">
        <w:br/>
        <w:t>Admissions are based on assessed need and our ability to provide safe, effective care. Placement plans are reviewed regularly, including statutory reviews and (for emergency placements) early review meetings.</w:t>
      </w:r>
    </w:p>
    <w:p w14:paraId="3866E314" w14:textId="77777777" w:rsidR="00172DDF" w:rsidRDefault="00172DDF"/>
    <w:sectPr w:rsidR="00172DD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0FB9" w14:textId="77777777" w:rsidR="00172DDF" w:rsidRDefault="00172DDF" w:rsidP="00172DDF">
      <w:pPr>
        <w:spacing w:after="0" w:line="240" w:lineRule="auto"/>
      </w:pPr>
      <w:r>
        <w:separator/>
      </w:r>
    </w:p>
  </w:endnote>
  <w:endnote w:type="continuationSeparator" w:id="0">
    <w:p w14:paraId="0377D479" w14:textId="77777777" w:rsidR="00172DDF" w:rsidRDefault="00172DDF" w:rsidP="0017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85FE" w14:textId="77777777" w:rsidR="00172DDF" w:rsidRDefault="00172DDF" w:rsidP="00172DDF">
      <w:pPr>
        <w:spacing w:after="0" w:line="240" w:lineRule="auto"/>
      </w:pPr>
      <w:r>
        <w:separator/>
      </w:r>
    </w:p>
  </w:footnote>
  <w:footnote w:type="continuationSeparator" w:id="0">
    <w:p w14:paraId="56DD14EA" w14:textId="77777777" w:rsidR="00172DDF" w:rsidRDefault="00172DDF" w:rsidP="00172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FFC3" w14:textId="5AD51162" w:rsidR="00172DDF" w:rsidRPr="00172DDF" w:rsidRDefault="00172DDF" w:rsidP="00172DDF">
    <w:pPr>
      <w:pStyle w:val="Header"/>
    </w:pPr>
    <w:r>
      <w:rPr>
        <w:noProof/>
      </w:rPr>
      <w:drawing>
        <wp:anchor distT="0" distB="0" distL="114300" distR="114300" simplePos="0" relativeHeight="251658240" behindDoc="1" locked="0" layoutInCell="1" allowOverlap="1" wp14:anchorId="28CE70B8" wp14:editId="2BE54D8D">
          <wp:simplePos x="0" y="0"/>
          <wp:positionH relativeFrom="page">
            <wp:align>right</wp:align>
          </wp:positionH>
          <wp:positionV relativeFrom="paragraph">
            <wp:posOffset>-373380</wp:posOffset>
          </wp:positionV>
          <wp:extent cx="1584960" cy="1584960"/>
          <wp:effectExtent l="0" t="0" r="0" b="0"/>
          <wp:wrapTight wrapText="bothSides">
            <wp:wrapPolygon edited="0">
              <wp:start x="0" y="0"/>
              <wp:lineTo x="0" y="21288"/>
              <wp:lineTo x="21288" y="21288"/>
              <wp:lineTo x="21288" y="0"/>
              <wp:lineTo x="0" y="0"/>
            </wp:wrapPolygon>
          </wp:wrapTight>
          <wp:docPr id="925532501" name="Picture 1" descr="A logo for a children's ho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 logo for a children's hom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15849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AAA"/>
    <w:multiLevelType w:val="multilevel"/>
    <w:tmpl w:val="8090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76E8D"/>
    <w:multiLevelType w:val="multilevel"/>
    <w:tmpl w:val="D006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235C5"/>
    <w:multiLevelType w:val="multilevel"/>
    <w:tmpl w:val="1D44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A616C"/>
    <w:multiLevelType w:val="multilevel"/>
    <w:tmpl w:val="4FEC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05971"/>
    <w:multiLevelType w:val="multilevel"/>
    <w:tmpl w:val="2890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A263B"/>
    <w:multiLevelType w:val="multilevel"/>
    <w:tmpl w:val="A6A4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E553F"/>
    <w:multiLevelType w:val="multilevel"/>
    <w:tmpl w:val="3B3C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6290F"/>
    <w:multiLevelType w:val="multilevel"/>
    <w:tmpl w:val="C01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610759"/>
    <w:multiLevelType w:val="multilevel"/>
    <w:tmpl w:val="1168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054290">
    <w:abstractNumId w:val="8"/>
  </w:num>
  <w:num w:numId="2" w16cid:durableId="176969496">
    <w:abstractNumId w:val="2"/>
  </w:num>
  <w:num w:numId="3" w16cid:durableId="1685866044">
    <w:abstractNumId w:val="0"/>
  </w:num>
  <w:num w:numId="4" w16cid:durableId="1125153546">
    <w:abstractNumId w:val="6"/>
  </w:num>
  <w:num w:numId="5" w16cid:durableId="1791699897">
    <w:abstractNumId w:val="1"/>
  </w:num>
  <w:num w:numId="6" w16cid:durableId="983003555">
    <w:abstractNumId w:val="3"/>
  </w:num>
  <w:num w:numId="7" w16cid:durableId="2145200037">
    <w:abstractNumId w:val="7"/>
  </w:num>
  <w:num w:numId="8" w16cid:durableId="442379550">
    <w:abstractNumId w:val="5"/>
  </w:num>
  <w:num w:numId="9" w16cid:durableId="371393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DF"/>
    <w:rsid w:val="00172DDF"/>
    <w:rsid w:val="00306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64EB"/>
  <w15:chartTrackingRefBased/>
  <w15:docId w15:val="{431C6050-0BC8-4F0F-A360-656739A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DDF"/>
    <w:rPr>
      <w:rFonts w:eastAsiaTheme="majorEastAsia" w:cstheme="majorBidi"/>
      <w:color w:val="272727" w:themeColor="text1" w:themeTint="D8"/>
    </w:rPr>
  </w:style>
  <w:style w:type="paragraph" w:styleId="Title">
    <w:name w:val="Title"/>
    <w:basedOn w:val="Normal"/>
    <w:next w:val="Normal"/>
    <w:link w:val="TitleChar"/>
    <w:uiPriority w:val="10"/>
    <w:qFormat/>
    <w:rsid w:val="00172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DDF"/>
    <w:pPr>
      <w:spacing w:before="160"/>
      <w:jc w:val="center"/>
    </w:pPr>
    <w:rPr>
      <w:i/>
      <w:iCs/>
      <w:color w:val="404040" w:themeColor="text1" w:themeTint="BF"/>
    </w:rPr>
  </w:style>
  <w:style w:type="character" w:customStyle="1" w:styleId="QuoteChar">
    <w:name w:val="Quote Char"/>
    <w:basedOn w:val="DefaultParagraphFont"/>
    <w:link w:val="Quote"/>
    <w:uiPriority w:val="29"/>
    <w:rsid w:val="00172DDF"/>
    <w:rPr>
      <w:i/>
      <w:iCs/>
      <w:color w:val="404040" w:themeColor="text1" w:themeTint="BF"/>
    </w:rPr>
  </w:style>
  <w:style w:type="paragraph" w:styleId="ListParagraph">
    <w:name w:val="List Paragraph"/>
    <w:basedOn w:val="Normal"/>
    <w:uiPriority w:val="34"/>
    <w:qFormat/>
    <w:rsid w:val="00172DDF"/>
    <w:pPr>
      <w:ind w:left="720"/>
      <w:contextualSpacing/>
    </w:pPr>
  </w:style>
  <w:style w:type="character" w:styleId="IntenseEmphasis">
    <w:name w:val="Intense Emphasis"/>
    <w:basedOn w:val="DefaultParagraphFont"/>
    <w:uiPriority w:val="21"/>
    <w:qFormat/>
    <w:rsid w:val="00172DDF"/>
    <w:rPr>
      <w:i/>
      <w:iCs/>
      <w:color w:val="0F4761" w:themeColor="accent1" w:themeShade="BF"/>
    </w:rPr>
  </w:style>
  <w:style w:type="paragraph" w:styleId="IntenseQuote">
    <w:name w:val="Intense Quote"/>
    <w:basedOn w:val="Normal"/>
    <w:next w:val="Normal"/>
    <w:link w:val="IntenseQuoteChar"/>
    <w:uiPriority w:val="30"/>
    <w:qFormat/>
    <w:rsid w:val="00172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DDF"/>
    <w:rPr>
      <w:i/>
      <w:iCs/>
      <w:color w:val="0F4761" w:themeColor="accent1" w:themeShade="BF"/>
    </w:rPr>
  </w:style>
  <w:style w:type="character" w:styleId="IntenseReference">
    <w:name w:val="Intense Reference"/>
    <w:basedOn w:val="DefaultParagraphFont"/>
    <w:uiPriority w:val="32"/>
    <w:qFormat/>
    <w:rsid w:val="00172DDF"/>
    <w:rPr>
      <w:b/>
      <w:bCs/>
      <w:smallCaps/>
      <w:color w:val="0F4761" w:themeColor="accent1" w:themeShade="BF"/>
      <w:spacing w:val="5"/>
    </w:rPr>
  </w:style>
  <w:style w:type="paragraph" w:styleId="Header">
    <w:name w:val="header"/>
    <w:basedOn w:val="Normal"/>
    <w:link w:val="HeaderChar"/>
    <w:uiPriority w:val="99"/>
    <w:unhideWhenUsed/>
    <w:rsid w:val="00172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DDF"/>
  </w:style>
  <w:style w:type="paragraph" w:styleId="Footer">
    <w:name w:val="footer"/>
    <w:basedOn w:val="Normal"/>
    <w:link w:val="FooterChar"/>
    <w:uiPriority w:val="99"/>
    <w:unhideWhenUsed/>
    <w:rsid w:val="00172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1379</Words>
  <Characters>7863</Characters>
  <Application>Microsoft Office Word</Application>
  <DocSecurity>0</DocSecurity>
  <Lines>65</Lines>
  <Paragraphs>18</Paragraphs>
  <ScaleCrop>false</ScaleCrop>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a</dc:creator>
  <cp:keywords/>
  <dc:description/>
  <cp:lastModifiedBy>c a</cp:lastModifiedBy>
  <cp:revision>1</cp:revision>
  <dcterms:created xsi:type="dcterms:W3CDTF">2026-01-06T00:00:00Z</dcterms:created>
  <dcterms:modified xsi:type="dcterms:W3CDTF">2026-01-06T00:02:00Z</dcterms:modified>
</cp:coreProperties>
</file>